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4728D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4728DE">
        <w:rPr>
          <w:rFonts w:cs="Tahoma"/>
          <w:b/>
          <w:sz w:val="28"/>
          <w:szCs w:val="28"/>
        </w:rPr>
        <w:t>TERMO DE REFERÊNCIA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977E2F7" w:rsidR="00212C1D" w:rsidRPr="00B22F6A" w:rsidRDefault="00212C1D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proofErr w:type="gramStart"/>
            <w:r w:rsidRPr="00B22F6A">
              <w:rPr>
                <w:rFonts w:cs="Tahoma"/>
                <w:b/>
                <w:sz w:val="16"/>
                <w:szCs w:val="16"/>
              </w:rPr>
              <w:t>(</w:t>
            </w:r>
            <w:r w:rsidR="001812E3" w:rsidRPr="00B22F6A">
              <w:rPr>
                <w:rFonts w:cs="Tahoma"/>
                <w:b/>
                <w:sz w:val="16"/>
                <w:szCs w:val="16"/>
              </w:rPr>
              <w:t xml:space="preserve"> x</w:t>
            </w:r>
            <w:proofErr w:type="gramEnd"/>
            <w:r w:rsidRPr="00B22F6A">
              <w:rPr>
                <w:rFonts w:cs="Tahoma"/>
                <w:b/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10F19A42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04B8F9FF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483F7602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E84D49" w:rsidRPr="00B22F6A">
              <w:rPr>
                <w:rFonts w:cs="Tahoma"/>
                <w:b/>
                <w:sz w:val="16"/>
                <w:szCs w:val="16"/>
              </w:rPr>
              <w:t>x</w:t>
            </w:r>
            <w:r w:rsidRPr="00B22F6A">
              <w:rPr>
                <w:rFonts w:cs="Tahoma"/>
                <w:b/>
                <w:sz w:val="16"/>
                <w:szCs w:val="16"/>
              </w:rPr>
              <w:t>) Obra(s) Comum(</w:t>
            </w:r>
            <w:proofErr w:type="spellStart"/>
            <w:r w:rsidRPr="00B22F6A">
              <w:rPr>
                <w:rFonts w:cs="Tahoma"/>
                <w:b/>
                <w:sz w:val="16"/>
                <w:szCs w:val="16"/>
              </w:rPr>
              <w:t>ns</w:t>
            </w:r>
            <w:proofErr w:type="spellEnd"/>
            <w:r w:rsidRPr="00B22F6A">
              <w:rPr>
                <w:rFonts w:cs="Tahoma"/>
                <w:b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51ADD58D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0604B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851"/>
        <w:gridCol w:w="704"/>
        <w:gridCol w:w="2443"/>
      </w:tblGrid>
      <w:tr w:rsidR="005E147B" w:rsidRPr="003C3C21" w14:paraId="7C1EC55D" w14:textId="77777777" w:rsidTr="005E147B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Qtd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5E147B">
        <w:tc>
          <w:tcPr>
            <w:tcW w:w="484" w:type="dxa"/>
            <w:shd w:val="clear" w:color="auto" w:fill="auto"/>
            <w:vAlign w:val="center"/>
          </w:tcPr>
          <w:p w14:paraId="438680B0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6B19C13D" w:rsidR="005E147B" w:rsidRPr="00520EA1" w:rsidRDefault="0075175C" w:rsidP="00520EA1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 w:rsidRPr="00520EA1">
              <w:rPr>
                <w:b/>
                <w:sz w:val="22"/>
              </w:rPr>
              <w:t xml:space="preserve"> </w:t>
            </w:r>
            <w:r w:rsidRPr="00520EA1">
              <w:rPr>
                <w:b/>
                <w:sz w:val="16"/>
                <w:szCs w:val="16"/>
              </w:rPr>
              <w:t xml:space="preserve">CONTRATAÇÃO DE </w:t>
            </w:r>
            <w:r>
              <w:rPr>
                <w:b/>
                <w:sz w:val="16"/>
                <w:szCs w:val="16"/>
              </w:rPr>
              <w:t xml:space="preserve">EMPRESA </w:t>
            </w:r>
            <w:r w:rsidRPr="00520EA1">
              <w:rPr>
                <w:b/>
                <w:sz w:val="16"/>
                <w:szCs w:val="16"/>
              </w:rPr>
              <w:t>PARA E</w:t>
            </w:r>
            <w:r w:rsidRPr="00520EA1">
              <w:rPr>
                <w:b/>
                <w:bCs/>
                <w:sz w:val="16"/>
                <w:szCs w:val="16"/>
              </w:rPr>
              <w:t>XECUÇÃO D</w:t>
            </w:r>
            <w:r>
              <w:rPr>
                <w:b/>
                <w:bCs/>
                <w:sz w:val="16"/>
                <w:szCs w:val="16"/>
              </w:rPr>
              <w:t>E AMPLIAÇÃO DO PRÉDIO DA UBS - CENTRO DE SAÚDE, EM ATENDIMENTO À PORTARIA SES Nº 864/2023.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3EFE8271" w:rsidR="005E147B" w:rsidRPr="003C3C21" w:rsidRDefault="00520EA1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18CE960F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2443" w:type="dxa"/>
            <w:shd w:val="clear" w:color="auto" w:fill="auto"/>
            <w:vAlign w:val="center"/>
          </w:tcPr>
          <w:p w14:paraId="7598F6F8" w14:textId="473D2B1F" w:rsidR="005E147B" w:rsidRPr="0075175C" w:rsidRDefault="002F0BE0" w:rsidP="00CF22BB">
            <w:pPr>
              <w:ind w:firstLine="0"/>
              <w:jc w:val="right"/>
              <w:rPr>
                <w:rFonts w:cs="Tahoma"/>
                <w:b/>
                <w:bCs/>
                <w:sz w:val="16"/>
                <w:szCs w:val="16"/>
                <w:highlight w:val="yellow"/>
              </w:rPr>
            </w:pPr>
            <w:r w:rsidRPr="0075175C">
              <w:rPr>
                <w:b/>
                <w:bCs/>
                <w:sz w:val="16"/>
                <w:szCs w:val="16"/>
              </w:rPr>
              <w:t>R$ 487.</w:t>
            </w:r>
            <w:r w:rsidR="0075175C" w:rsidRPr="0075175C">
              <w:rPr>
                <w:b/>
                <w:bCs/>
                <w:sz w:val="16"/>
                <w:szCs w:val="16"/>
              </w:rPr>
              <w:t>730,58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274997F" w:rsidR="00212C1D" w:rsidRPr="003C3C21" w:rsidRDefault="00496347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4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quatro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>) meses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23C4AA28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3F5C86A1" w:rsidR="00212C1D" w:rsidRPr="003C3C21" w:rsidRDefault="00496347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</w:t>
            </w:r>
            <w:r w:rsidR="00486B19">
              <w:rPr>
                <w:rFonts w:cs="Tahoma"/>
                <w:sz w:val="16"/>
                <w:szCs w:val="16"/>
              </w:rPr>
              <w:t>Saúde e Assistência Social</w:t>
            </w:r>
            <w:r w:rsidR="00270343">
              <w:rPr>
                <w:rFonts w:cs="Tahoma"/>
                <w:sz w:val="16"/>
                <w:szCs w:val="16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3B0938E7" w:rsidR="00212C1D" w:rsidRPr="00270343" w:rsidRDefault="00486B19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shd w:val="clear" w:color="auto" w:fill="FFFFFF"/>
              </w:rPr>
              <w:t>Av. Dr. Ito João Snel</w:t>
            </w:r>
            <w:r w:rsidR="00496347">
              <w:rPr>
                <w:rFonts w:cs="Tahoma"/>
                <w:sz w:val="16"/>
                <w:szCs w:val="16"/>
                <w:shd w:val="clear" w:color="auto" w:fill="FFFFFF"/>
              </w:rPr>
              <w:t>,</w:t>
            </w:r>
            <w:r w:rsidR="00270343" w:rsidRPr="00270343">
              <w:rPr>
                <w:rFonts w:cs="Tahoma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cs="Tahoma"/>
                <w:sz w:val="16"/>
                <w:szCs w:val="16"/>
                <w:shd w:val="clear" w:color="auto" w:fill="FFFFFF"/>
              </w:rPr>
              <w:t>870</w:t>
            </w:r>
            <w:r w:rsidR="00270343" w:rsidRPr="00270343">
              <w:rPr>
                <w:rFonts w:cs="Tahoma"/>
                <w:sz w:val="16"/>
                <w:szCs w:val="16"/>
                <w:shd w:val="clear" w:color="auto" w:fill="FFFFFF"/>
              </w:rPr>
              <w:t xml:space="preserve">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26C75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1D514719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 </w:t>
            </w:r>
            <w:r w:rsidR="006B335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>) Outro</w:t>
            </w:r>
            <w:r w:rsidR="006B3351">
              <w:rPr>
                <w:rFonts w:cs="Tahoma"/>
                <w:sz w:val="16"/>
                <w:szCs w:val="16"/>
              </w:rPr>
              <w:t>: Garantia Legal de OBRA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27CCE1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5953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BD7523">
        <w:trPr>
          <w:trHeight w:val="245"/>
        </w:trPr>
        <w:tc>
          <w:tcPr>
            <w:tcW w:w="4361" w:type="dxa"/>
            <w:gridSpan w:val="2"/>
            <w:vMerge w:val="restart"/>
            <w:shd w:val="clear" w:color="auto" w:fill="auto"/>
            <w:vAlign w:val="center"/>
          </w:tcPr>
          <w:p w14:paraId="688FF8BE" w14:textId="19C1C296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</w:t>
            </w:r>
            <w:r w:rsidR="008434AB">
              <w:rPr>
                <w:rFonts w:cs="Tahoma"/>
                <w:sz w:val="16"/>
                <w:szCs w:val="16"/>
              </w:rPr>
              <w:t>, prorrogável.</w:t>
            </w:r>
          </w:p>
        </w:tc>
        <w:tc>
          <w:tcPr>
            <w:tcW w:w="5953" w:type="dxa"/>
            <w:tcBorders>
              <w:bottom w:val="nil"/>
            </w:tcBorders>
            <w:shd w:val="clear" w:color="auto" w:fill="auto"/>
            <w:vAlign w:val="center"/>
          </w:tcPr>
          <w:p w14:paraId="2D0CB6C6" w14:textId="77777777" w:rsidR="00BD7523" w:rsidRDefault="00BD7523" w:rsidP="00BD7523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76466E88" w14:textId="2D9E4D6A" w:rsidR="00212C1D" w:rsidRPr="003C3C21" w:rsidRDefault="00212C1D" w:rsidP="00BD7523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</w:t>
            </w:r>
            <w:r w:rsidR="00BD7523">
              <w:rPr>
                <w:rFonts w:cs="Tahoma"/>
                <w:sz w:val="16"/>
                <w:szCs w:val="16"/>
              </w:rPr>
              <w:t xml:space="preserve"> (considerando os prazos de recebimento do objeto, pagamentos, prestação de contas, </w:t>
            </w:r>
            <w:proofErr w:type="spellStart"/>
            <w:r w:rsidR="00BD7523">
              <w:rPr>
                <w:rFonts w:cs="Tahoma"/>
                <w:sz w:val="16"/>
                <w:szCs w:val="16"/>
              </w:rPr>
              <w:t>etc</w:t>
            </w:r>
            <w:proofErr w:type="spellEnd"/>
            <w:r w:rsidR="00BD7523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  <w:r w:rsidR="00BD7523">
              <w:rPr>
                <w:rFonts w:cs="Tahoma"/>
                <w:sz w:val="16"/>
                <w:szCs w:val="16"/>
              </w:rPr>
              <w:t xml:space="preserve"> </w:t>
            </w:r>
            <w:r w:rsidR="00BD7523" w:rsidRPr="00BD7523">
              <w:rPr>
                <w:rFonts w:cs="Tahoma"/>
                <w:b/>
                <w:sz w:val="16"/>
                <w:szCs w:val="16"/>
              </w:rPr>
              <w:t>7 (sete) meses</w:t>
            </w:r>
          </w:p>
        </w:tc>
      </w:tr>
      <w:tr w:rsidR="00212C1D" w:rsidRPr="003C3C21" w14:paraId="3A001B19" w14:textId="77777777" w:rsidTr="00BD7523">
        <w:trPr>
          <w:trHeight w:val="60"/>
        </w:trPr>
        <w:tc>
          <w:tcPr>
            <w:tcW w:w="4361" w:type="dxa"/>
            <w:gridSpan w:val="2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</w:tcBorders>
            <w:shd w:val="clear" w:color="auto" w:fill="auto"/>
            <w:vAlign w:val="center"/>
          </w:tcPr>
          <w:p w14:paraId="3ACF33B9" w14:textId="5DA4BBD1" w:rsidR="00212C1D" w:rsidRPr="005920EA" w:rsidRDefault="00212C1D" w:rsidP="00BD7523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18993B4C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2F0BE0">
              <w:rPr>
                <w:sz w:val="16"/>
                <w:szCs w:val="16"/>
              </w:rPr>
              <w:t>R$ 487.</w:t>
            </w:r>
            <w:r w:rsidR="0075175C">
              <w:rPr>
                <w:sz w:val="16"/>
                <w:szCs w:val="16"/>
              </w:rPr>
              <w:t>730,58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9C8E74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="00A92FAC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EA00E5B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A92FAC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FE4969B" w14:textId="77777777" w:rsidR="00016749" w:rsidRDefault="009A1DE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Portaria SES 864/2023</w:t>
            </w:r>
          </w:p>
          <w:p w14:paraId="2594A657" w14:textId="6758DEA8" w:rsidR="009A1DE1" w:rsidRPr="003C3C21" w:rsidRDefault="009A1DE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Lei 14.133/2021</w:t>
            </w:r>
          </w:p>
        </w:tc>
      </w:tr>
      <w:tr w:rsidR="007D720C" w:rsidRPr="007D720C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3182FF3" w14:textId="1C589679" w:rsidR="009A1DE1" w:rsidRDefault="003D01B6" w:rsidP="003C3C21">
            <w:pPr>
              <w:spacing w:after="160"/>
              <w:ind w:firstLine="0"/>
              <w:rPr>
                <w:sz w:val="16"/>
                <w:szCs w:val="16"/>
              </w:rPr>
            </w:pPr>
            <w:r w:rsidRPr="007D720C">
              <w:rPr>
                <w:sz w:val="16"/>
                <w:szCs w:val="16"/>
              </w:rPr>
              <w:lastRenderedPageBreak/>
              <w:t xml:space="preserve">Com </w:t>
            </w:r>
            <w:r w:rsidR="00496347">
              <w:rPr>
                <w:sz w:val="16"/>
                <w:szCs w:val="16"/>
              </w:rPr>
              <w:t xml:space="preserve">o aumento da população e as demandas existentes na </w:t>
            </w:r>
            <w:r w:rsidR="00986A49">
              <w:rPr>
                <w:sz w:val="16"/>
                <w:szCs w:val="16"/>
              </w:rPr>
              <w:t xml:space="preserve">Secretaria </w:t>
            </w:r>
            <w:r w:rsidR="00496347">
              <w:rPr>
                <w:sz w:val="16"/>
                <w:szCs w:val="16"/>
              </w:rPr>
              <w:t xml:space="preserve">de </w:t>
            </w:r>
            <w:r w:rsidR="00986A49">
              <w:rPr>
                <w:sz w:val="16"/>
                <w:szCs w:val="16"/>
              </w:rPr>
              <w:t>Saúde</w:t>
            </w:r>
            <w:r w:rsidR="00496347">
              <w:rPr>
                <w:sz w:val="16"/>
                <w:szCs w:val="16"/>
              </w:rPr>
              <w:t>, a área de atendimento existente no</w:t>
            </w:r>
            <w:r w:rsidR="00276A58">
              <w:rPr>
                <w:sz w:val="16"/>
                <w:szCs w:val="16"/>
              </w:rPr>
              <w:t xml:space="preserve"> Centro de Saúde do</w:t>
            </w:r>
            <w:r w:rsidR="00496347">
              <w:rPr>
                <w:sz w:val="16"/>
                <w:szCs w:val="16"/>
              </w:rPr>
              <w:t xml:space="preserve"> Bairro Centro é </w:t>
            </w:r>
            <w:r w:rsidR="00102401">
              <w:rPr>
                <w:sz w:val="16"/>
                <w:szCs w:val="16"/>
              </w:rPr>
              <w:t>insuficiente e incompatível com as necessidades de atendimento</w:t>
            </w:r>
            <w:r w:rsidR="00496347">
              <w:rPr>
                <w:sz w:val="16"/>
                <w:szCs w:val="16"/>
              </w:rPr>
              <w:t xml:space="preserve">. </w:t>
            </w:r>
          </w:p>
          <w:p w14:paraId="220B28A2" w14:textId="77777777" w:rsidR="00016749" w:rsidRDefault="00496347" w:rsidP="003C3C21">
            <w:pPr>
              <w:spacing w:after="16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Desta forma, desenvolveu-se projeto de ampliação do espaço e encaminhou-se pedido de convênio junto ao governo estadual, sendo contemplado pelo programa Avançar na Saúde da Rede Bem Cuidar.</w:t>
            </w:r>
          </w:p>
          <w:p w14:paraId="58C50A4D" w14:textId="77777777" w:rsidR="00BA19EA" w:rsidRDefault="00BA19EA" w:rsidP="003C3C21">
            <w:pPr>
              <w:spacing w:after="160"/>
              <w:ind w:firstLine="0"/>
              <w:rPr>
                <w:sz w:val="16"/>
                <w:szCs w:val="16"/>
              </w:rPr>
            </w:pPr>
          </w:p>
          <w:p w14:paraId="1E933476" w14:textId="4D5BE09F" w:rsidR="00986A49" w:rsidRDefault="00313444" w:rsidP="003C3C21">
            <w:pPr>
              <w:spacing w:after="16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Considerando que foram realizados 3 (três) procedimentos licitatórios – CCE nº 001/2023, CCE 02/2023 e CCP nº 06/2024, e que todas restaram fracassadas e/ou revogadas, solicita-se a contratação direta, via </w:t>
            </w:r>
            <w:r w:rsidRPr="004D0CA2">
              <w:rPr>
                <w:b/>
                <w:bCs/>
                <w:sz w:val="16"/>
                <w:szCs w:val="16"/>
              </w:rPr>
              <w:t>art. 75, inciso III, alínea a, da Lei 14.133/2021.</w:t>
            </w:r>
            <w:r>
              <w:rPr>
                <w:sz w:val="16"/>
                <w:szCs w:val="16"/>
              </w:rPr>
              <w:t xml:space="preserve"> </w:t>
            </w:r>
          </w:p>
          <w:p w14:paraId="6505D963" w14:textId="3F06F4C4" w:rsidR="00313444" w:rsidRPr="007D720C" w:rsidRDefault="00986A49" w:rsidP="003C3C21">
            <w:pPr>
              <w:spacing w:after="160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Ressalta-se ainda que foram mantidas todas as condições exigidas no último procedimento licitatório.</w:t>
            </w:r>
          </w:p>
        </w:tc>
      </w:tr>
    </w:tbl>
    <w:p w14:paraId="22F9073C" w14:textId="167D12C2" w:rsidR="00DD1CD6" w:rsidRPr="007D720C" w:rsidRDefault="00016749" w:rsidP="00EC1F26">
      <w:pPr>
        <w:pStyle w:val="Ttulo1"/>
        <w:rPr>
          <w:rFonts w:cs="Tahoma"/>
          <w:sz w:val="16"/>
          <w:szCs w:val="16"/>
        </w:rPr>
      </w:pPr>
      <w:r w:rsidRPr="007D720C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D720C" w:rsidRPr="007D720C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79DC7E2E" w:rsidR="00016749" w:rsidRPr="007D720C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7D720C">
              <w:rPr>
                <w:rFonts w:cs="Tahoma"/>
                <w:sz w:val="16"/>
                <w:szCs w:val="16"/>
              </w:rPr>
              <w:t>A</w:t>
            </w:r>
            <w:r w:rsidR="003D01B6" w:rsidRPr="007D720C">
              <w:rPr>
                <w:rFonts w:cs="Tahoma"/>
                <w:sz w:val="16"/>
                <w:szCs w:val="16"/>
              </w:rPr>
              <w:t>pós análise técnica do Setor de Engenharia constatou-se que a execução d</w:t>
            </w:r>
            <w:r w:rsidR="00496347">
              <w:rPr>
                <w:rFonts w:cs="Tahoma"/>
                <w:sz w:val="16"/>
                <w:szCs w:val="16"/>
              </w:rPr>
              <w:t>e</w:t>
            </w:r>
            <w:r w:rsidR="001812E3" w:rsidRPr="007D720C">
              <w:rPr>
                <w:rFonts w:cs="Tahoma"/>
                <w:sz w:val="16"/>
                <w:szCs w:val="16"/>
              </w:rPr>
              <w:t xml:space="preserve"> </w:t>
            </w:r>
            <w:r w:rsidR="00197CF2">
              <w:rPr>
                <w:rFonts w:cs="Tahoma"/>
                <w:sz w:val="16"/>
                <w:szCs w:val="16"/>
              </w:rPr>
              <w:t>a</w:t>
            </w:r>
            <w:r w:rsidR="00496347">
              <w:rPr>
                <w:rFonts w:cs="Tahoma"/>
                <w:sz w:val="16"/>
                <w:szCs w:val="16"/>
              </w:rPr>
              <w:t>mpliação do</w:t>
            </w:r>
            <w:r w:rsidR="001812E3" w:rsidRPr="007D720C">
              <w:rPr>
                <w:rFonts w:cs="Tahoma"/>
                <w:sz w:val="16"/>
                <w:szCs w:val="16"/>
              </w:rPr>
              <w:t xml:space="preserve"> prédio d</w:t>
            </w:r>
            <w:r w:rsidR="00496347">
              <w:rPr>
                <w:rFonts w:cs="Tahoma"/>
                <w:sz w:val="16"/>
                <w:szCs w:val="16"/>
              </w:rPr>
              <w:t>o Centro de Saúde</w:t>
            </w:r>
            <w:r w:rsidR="00197CF2">
              <w:rPr>
                <w:rFonts w:cs="Tahoma"/>
                <w:sz w:val="16"/>
                <w:szCs w:val="16"/>
              </w:rPr>
              <w:t xml:space="preserve"> seria a</w:t>
            </w:r>
            <w:r w:rsidR="001812E3" w:rsidRPr="007D720C">
              <w:rPr>
                <w:rFonts w:cs="Tahoma"/>
                <w:sz w:val="16"/>
                <w:szCs w:val="16"/>
              </w:rPr>
              <w:t xml:space="preserve"> </w:t>
            </w:r>
            <w:r w:rsidR="00B52E14" w:rsidRPr="007D720C">
              <w:rPr>
                <w:rFonts w:cs="Tahoma"/>
                <w:sz w:val="16"/>
                <w:szCs w:val="16"/>
              </w:rPr>
              <w:t xml:space="preserve">solução mais viável técnica e economicamente.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6C80E859" w14:textId="77777777" w:rsidR="00A92FAC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Executar a obra conforme disposto no projeto de engenharia e anexos;</w:t>
            </w:r>
          </w:p>
          <w:p w14:paraId="3757BE9A" w14:textId="77777777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Obedecer as normas técnicas e de segurança do trabalho aplicáveis;</w:t>
            </w:r>
          </w:p>
          <w:p w14:paraId="05625174" w14:textId="77777777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Fornecer EPIs aos funcionários;</w:t>
            </w:r>
          </w:p>
          <w:p w14:paraId="7011B153" w14:textId="77777777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Responsabilizar-se pelas despesas administrativas, taxas e encargos trabalhistas, previdenciários, e todas demais despesas para perfeita execução do objeto;</w:t>
            </w:r>
          </w:p>
          <w:p w14:paraId="65ACF716" w14:textId="5AB4EACA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Responsável Técnico para acompanhamento e execução da obra, com respectiva ART de execução;</w:t>
            </w:r>
          </w:p>
          <w:p w14:paraId="40BF8704" w14:textId="77777777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CNO da obra;</w:t>
            </w:r>
          </w:p>
          <w:p w14:paraId="07755B6C" w14:textId="77777777" w:rsidR="005D1EE7" w:rsidRDefault="005D1EE7" w:rsidP="005D1EE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Não realizar qualquer alteração sem expressa autorização do Órgão contratante.</w:t>
            </w:r>
          </w:p>
          <w:p w14:paraId="06B7B4D7" w14:textId="7822DE8A" w:rsidR="00B87C3F" w:rsidRPr="00A24178" w:rsidRDefault="00B87C3F" w:rsidP="00A24178">
            <w:pPr>
              <w:spacing w:after="0"/>
              <w:rPr>
                <w:rFonts w:cs="Tahoma"/>
                <w:sz w:val="16"/>
                <w:szCs w:val="16"/>
              </w:rPr>
            </w:pP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3C3C21" w14:paraId="0B564CB8" w14:textId="77777777" w:rsidTr="00CF22BB">
        <w:trPr>
          <w:trHeight w:val="137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41E86D63" w14:textId="77777777" w:rsidTr="00CF22BB">
        <w:trPr>
          <w:trHeight w:val="312"/>
        </w:trPr>
        <w:tc>
          <w:tcPr>
            <w:tcW w:w="10314" w:type="dxa"/>
            <w:gridSpan w:val="5"/>
            <w:tcBorders>
              <w:top w:val="nil"/>
            </w:tcBorders>
            <w:shd w:val="clear" w:color="auto" w:fill="auto"/>
          </w:tcPr>
          <w:p w14:paraId="08C9D476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5D1EE7" w:rsidRDefault="00EC1F26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proofErr w:type="gramStart"/>
            <w:r w:rsidRPr="005D1EE7">
              <w:rPr>
                <w:rFonts w:cs="Tahoma"/>
                <w:b/>
                <w:sz w:val="16"/>
                <w:szCs w:val="16"/>
              </w:rPr>
              <w:t xml:space="preserve">( </w:t>
            </w:r>
            <w:r w:rsidR="00684670" w:rsidRPr="005D1EE7">
              <w:rPr>
                <w:rFonts w:cs="Tahoma"/>
                <w:b/>
                <w:sz w:val="16"/>
                <w:szCs w:val="16"/>
              </w:rPr>
              <w:t>x</w:t>
            </w:r>
            <w:proofErr w:type="gramEnd"/>
            <w:r w:rsidRPr="005D1EE7">
              <w:rPr>
                <w:rFonts w:cs="Tahoma"/>
                <w:b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0156CE69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a) O Município exercerá ampla e irrestrita fiscalização na execução </w:t>
            </w:r>
            <w:r w:rsidR="00D347F2">
              <w:rPr>
                <w:rFonts w:cs="Tahoma"/>
                <w:sz w:val="16"/>
                <w:szCs w:val="16"/>
              </w:rPr>
              <w:t xml:space="preserve">do </w:t>
            </w:r>
            <w:r w:rsidRPr="003C3C21">
              <w:rPr>
                <w:rFonts w:cs="Tahoma"/>
                <w:sz w:val="16"/>
                <w:szCs w:val="16"/>
              </w:rPr>
              <w:t>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p w14:paraId="476DB3B1" w14:textId="77777777" w:rsidR="00E2566F" w:rsidRPr="003C3C21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449A12C9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07B6A7FF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  <w:r w:rsidR="005D1EE7">
              <w:rPr>
                <w:rFonts w:cs="Tahoma"/>
                <w:sz w:val="16"/>
                <w:szCs w:val="16"/>
              </w:rPr>
              <w:t>, em até 10 dias úteis após entrega da nota e documentos complementares.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lastRenderedPageBreak/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197CF2" w:rsidRDefault="00EC1F26" w:rsidP="00CF22BB">
            <w:pPr>
              <w:ind w:firstLine="0"/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 w:rsidRPr="007343E2">
              <w:rPr>
                <w:rFonts w:cs="Tahoma"/>
                <w:b/>
                <w:bCs/>
                <w:sz w:val="16"/>
                <w:szCs w:val="16"/>
              </w:rPr>
              <w:t>Exigência(s) de Qualificação(</w:t>
            </w:r>
            <w:proofErr w:type="spellStart"/>
            <w:r w:rsidRPr="007343E2">
              <w:rPr>
                <w:rFonts w:cs="Tahoma"/>
                <w:b/>
                <w:bCs/>
                <w:sz w:val="16"/>
                <w:szCs w:val="16"/>
              </w:rPr>
              <w:t>ões</w:t>
            </w:r>
            <w:proofErr w:type="spellEnd"/>
            <w:r w:rsidRPr="007343E2">
              <w:rPr>
                <w:rFonts w:cs="Tahoma"/>
                <w:b/>
                <w:bCs/>
                <w:sz w:val="16"/>
                <w:szCs w:val="16"/>
              </w:rPr>
              <w:t>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48FA6D59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D347F2">
              <w:rPr>
                <w:rFonts w:cs="Tahoma"/>
                <w:sz w:val="16"/>
                <w:szCs w:val="16"/>
              </w:rPr>
              <w:t xml:space="preserve"> </w:t>
            </w:r>
            <w:r w:rsidR="001812E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2D1F38F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7CF2">
              <w:rPr>
                <w:rFonts w:cs="Tahoma"/>
                <w:sz w:val="16"/>
                <w:szCs w:val="16"/>
              </w:rPr>
              <w:t xml:space="preserve"> x</w:t>
            </w:r>
            <w:proofErr w:type="gramEnd"/>
            <w:r w:rsidR="00197CF2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A1AFD75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>Possuir registro vigente da empresa no Conselho Regional de Engenharia e Agronomia do Rio Grande do Sul </w:t>
            </w:r>
            <w:r w:rsidRPr="00ED7F92">
              <w:rPr>
                <w:rFonts w:cs="Tahoma"/>
                <w:b/>
                <w:bCs/>
                <w:sz w:val="16"/>
                <w:szCs w:val="16"/>
              </w:rPr>
              <w:t>(CREA/RS)</w:t>
            </w:r>
            <w:r w:rsidRPr="00546694">
              <w:rPr>
                <w:rFonts w:cs="Tahoma"/>
                <w:sz w:val="16"/>
                <w:szCs w:val="16"/>
              </w:rPr>
              <w:t xml:space="preserve"> ou Conselho de Arquitetura e Urbanismo </w:t>
            </w:r>
            <w:r w:rsidRPr="00ED7F92">
              <w:rPr>
                <w:rFonts w:cs="Tahoma"/>
                <w:b/>
                <w:bCs/>
                <w:sz w:val="16"/>
                <w:szCs w:val="16"/>
              </w:rPr>
              <w:t>(CAU/RS);</w:t>
            </w:r>
          </w:p>
          <w:p w14:paraId="587A49FE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 xml:space="preserve">Comprovação de </w:t>
            </w:r>
            <w:r w:rsidRPr="00ED7F92">
              <w:rPr>
                <w:rFonts w:cs="Tahoma"/>
                <w:b/>
                <w:bCs/>
                <w:sz w:val="16"/>
                <w:szCs w:val="16"/>
              </w:rPr>
              <w:t>Capacidade Técnico-Operacional</w:t>
            </w:r>
            <w:r w:rsidRPr="00546694">
              <w:rPr>
                <w:rFonts w:cs="Tahoma"/>
                <w:sz w:val="16"/>
                <w:szCs w:val="16"/>
              </w:rPr>
              <w:t>, mediante apresentação de, no mínimo, 1 (um) atestado fornecido por pessoa jurídica de direito público ou privado, para comprovação de que a empresa licitante executou serviços de complexidade equivalente ou compatível ao objeto dessa licitaçã</w:t>
            </w:r>
            <w:r>
              <w:rPr>
                <w:rFonts w:cs="Tahoma"/>
                <w:sz w:val="16"/>
                <w:szCs w:val="16"/>
              </w:rPr>
              <w:t>o</w:t>
            </w:r>
            <w:r w:rsidRPr="00546694">
              <w:rPr>
                <w:rFonts w:cs="Tahoma"/>
                <w:sz w:val="16"/>
                <w:szCs w:val="16"/>
              </w:rPr>
              <w:t>;</w:t>
            </w:r>
          </w:p>
          <w:p w14:paraId="667582F7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 xml:space="preserve">Comprovação de </w:t>
            </w:r>
            <w:r w:rsidRPr="00ED7F92">
              <w:rPr>
                <w:rFonts w:cs="Tahoma"/>
                <w:b/>
                <w:bCs/>
                <w:sz w:val="16"/>
                <w:szCs w:val="16"/>
              </w:rPr>
              <w:t>Capacidade Técnico-Profissional</w:t>
            </w:r>
            <w:r w:rsidRPr="00546694">
              <w:rPr>
                <w:rFonts w:cs="Tahoma"/>
                <w:sz w:val="16"/>
                <w:szCs w:val="16"/>
              </w:rPr>
              <w:t>, mediante apresentação de,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</w:t>
            </w:r>
            <w:r>
              <w:rPr>
                <w:rFonts w:cs="Tahoma"/>
                <w:sz w:val="16"/>
                <w:szCs w:val="16"/>
              </w:rPr>
              <w:t>o</w:t>
            </w:r>
            <w:r w:rsidRPr="00546694">
              <w:rPr>
                <w:rFonts w:cs="Tahoma"/>
                <w:sz w:val="16"/>
                <w:szCs w:val="16"/>
              </w:rPr>
              <w:t>;</w:t>
            </w:r>
          </w:p>
          <w:p w14:paraId="452E3AF0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 xml:space="preserve">Comprovante de </w:t>
            </w:r>
            <w:r w:rsidRPr="00ED7F92">
              <w:rPr>
                <w:rFonts w:cs="Tahoma"/>
                <w:b/>
                <w:bCs/>
                <w:sz w:val="16"/>
                <w:szCs w:val="16"/>
              </w:rPr>
              <w:t>vínculo do responsável técnico com a empresa</w:t>
            </w:r>
            <w:r w:rsidRPr="00546694">
              <w:rPr>
                <w:rFonts w:cs="Tahoma"/>
                <w:sz w:val="16"/>
                <w:szCs w:val="16"/>
              </w:rPr>
              <w:t>, podendo esta ser realizada da seguinte forma: Em se tratando de sócio da empresa, por intermédio da apresentação do contrato social; no caso de empregado, mediante cópia da Carteira de Trabalho e Previdência Social (CTPS); ou mediante certidão emitida pelo CREA ou CAU, onde conste a inscrição deste profissional como responsável técnico da empresa licitante, ou mediante contrato de prestação de serviços;</w:t>
            </w:r>
          </w:p>
          <w:p w14:paraId="1997D0AC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>Atestado de visita técnica, a ser realizada pelo Responsável Técnico e/ou Representante Legal da empresa</w:t>
            </w:r>
            <w:r>
              <w:rPr>
                <w:rFonts w:cs="Tahoma"/>
                <w:sz w:val="16"/>
                <w:szCs w:val="16"/>
              </w:rPr>
              <w:t xml:space="preserve"> ou declaração de ciência das particularidades para execução;</w:t>
            </w:r>
          </w:p>
          <w:p w14:paraId="702D14E6" w14:textId="77777777" w:rsidR="005D1EE7" w:rsidRPr="00546694" w:rsidRDefault="005D1EE7" w:rsidP="005D1EE7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>Apresentar as certidões negativas exigidas na Lei 14.133/21.</w:t>
            </w:r>
          </w:p>
          <w:p w14:paraId="3E916CE4" w14:textId="05579CC2" w:rsidR="00AA70E1" w:rsidRPr="005D1EE7" w:rsidRDefault="00AA70E1" w:rsidP="005D1EE7">
            <w:pPr>
              <w:rPr>
                <w:rFonts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7343E2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2603A7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7CF2">
              <w:rPr>
                <w:rFonts w:cs="Tahoma"/>
                <w:sz w:val="16"/>
                <w:szCs w:val="16"/>
              </w:rPr>
              <w:t xml:space="preserve"> </w:t>
            </w:r>
            <w:r w:rsidR="005D1EE7">
              <w:rPr>
                <w:rFonts w:cs="Tahoma"/>
                <w:sz w:val="16"/>
                <w:szCs w:val="16"/>
              </w:rPr>
              <w:t>x</w:t>
            </w:r>
            <w:proofErr w:type="gramEnd"/>
            <w:r w:rsidR="00197CF2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0B0C1D9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0D257E05" w:rsidR="006E4A4B" w:rsidRPr="0091377C" w:rsidRDefault="006E4A4B" w:rsidP="0091377C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7D95030C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E5224F">
        <w:rPr>
          <w:rFonts w:cs="Tahoma"/>
          <w:sz w:val="16"/>
          <w:szCs w:val="16"/>
        </w:rPr>
        <w:t>1</w:t>
      </w:r>
      <w:r w:rsidR="002F0BE0">
        <w:rPr>
          <w:rFonts w:cs="Tahoma"/>
          <w:sz w:val="16"/>
          <w:szCs w:val="16"/>
        </w:rPr>
        <w:t xml:space="preserve"> de </w:t>
      </w:r>
      <w:r w:rsidR="00E92C77">
        <w:rPr>
          <w:rFonts w:cs="Tahoma"/>
          <w:sz w:val="16"/>
          <w:szCs w:val="16"/>
        </w:rPr>
        <w:t>julho</w:t>
      </w:r>
      <w:r w:rsidR="002F0BE0">
        <w:rPr>
          <w:rFonts w:cs="Tahoma"/>
          <w:sz w:val="16"/>
          <w:szCs w:val="16"/>
        </w:rPr>
        <w:t xml:space="preserve"> de 2024.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603B9C64" w:rsidR="00F21487" w:rsidRPr="003C3C21" w:rsidRDefault="00B1139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JÓICE CRISTINA HORST</w:t>
            </w:r>
          </w:p>
        </w:tc>
      </w:tr>
      <w:tr w:rsidR="00F21487" w:rsidRPr="003C3C21" w14:paraId="71822289" w14:textId="77777777" w:rsidTr="00FA7E8E">
        <w:trPr>
          <w:trHeight w:val="60"/>
        </w:trPr>
        <w:tc>
          <w:tcPr>
            <w:tcW w:w="6204" w:type="dxa"/>
            <w:shd w:val="clear" w:color="auto" w:fill="auto"/>
            <w:vAlign w:val="center"/>
          </w:tcPr>
          <w:p w14:paraId="5E96E0DA" w14:textId="77777777" w:rsidR="00E92C77" w:rsidRDefault="00B1139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Secret</w:t>
            </w:r>
            <w:r w:rsidR="00FA7E8E">
              <w:rPr>
                <w:rFonts w:cs="Tahoma"/>
                <w:sz w:val="16"/>
                <w:szCs w:val="16"/>
              </w:rPr>
              <w:t>á</w:t>
            </w:r>
            <w:r>
              <w:rPr>
                <w:rFonts w:cs="Tahoma"/>
                <w:sz w:val="16"/>
                <w:szCs w:val="16"/>
              </w:rPr>
              <w:t xml:space="preserve">ria </w:t>
            </w:r>
            <w:r w:rsidR="00E92C77">
              <w:rPr>
                <w:rFonts w:cs="Tahoma"/>
                <w:sz w:val="16"/>
                <w:szCs w:val="16"/>
              </w:rPr>
              <w:t xml:space="preserve">Municipal </w:t>
            </w:r>
            <w:r>
              <w:rPr>
                <w:rFonts w:cs="Tahoma"/>
                <w:sz w:val="16"/>
                <w:szCs w:val="16"/>
              </w:rPr>
              <w:t xml:space="preserve">da Saúde e </w:t>
            </w:r>
          </w:p>
          <w:p w14:paraId="3F671AF6" w14:textId="5137A3E1" w:rsidR="00F21487" w:rsidRPr="003C3C21" w:rsidRDefault="00B1139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Assistência Social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57F0451"/>
    <w:multiLevelType w:val="hybridMultilevel"/>
    <w:tmpl w:val="AE8825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08306C"/>
    <w:multiLevelType w:val="hybridMultilevel"/>
    <w:tmpl w:val="AAD8C3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47236"/>
    <w:multiLevelType w:val="hybridMultilevel"/>
    <w:tmpl w:val="85BAAD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FB90C51"/>
    <w:multiLevelType w:val="hybridMultilevel"/>
    <w:tmpl w:val="1CBCDAA4"/>
    <w:lvl w:ilvl="0" w:tplc="CCC05FB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00671942">
    <w:abstractNumId w:val="11"/>
  </w:num>
  <w:num w:numId="2" w16cid:durableId="191843557">
    <w:abstractNumId w:val="13"/>
  </w:num>
  <w:num w:numId="3" w16cid:durableId="662201533">
    <w:abstractNumId w:val="12"/>
  </w:num>
  <w:num w:numId="4" w16cid:durableId="1030910807">
    <w:abstractNumId w:val="6"/>
  </w:num>
  <w:num w:numId="5" w16cid:durableId="873886042">
    <w:abstractNumId w:val="3"/>
  </w:num>
  <w:num w:numId="6" w16cid:durableId="1839734485">
    <w:abstractNumId w:val="20"/>
  </w:num>
  <w:num w:numId="7" w16cid:durableId="2136871181">
    <w:abstractNumId w:val="25"/>
  </w:num>
  <w:num w:numId="8" w16cid:durableId="1449351735">
    <w:abstractNumId w:val="21"/>
  </w:num>
  <w:num w:numId="9" w16cid:durableId="2068995201">
    <w:abstractNumId w:val="26"/>
  </w:num>
  <w:num w:numId="10" w16cid:durableId="121311666">
    <w:abstractNumId w:val="16"/>
  </w:num>
  <w:num w:numId="11" w16cid:durableId="1914007860">
    <w:abstractNumId w:val="24"/>
  </w:num>
  <w:num w:numId="12" w16cid:durableId="1733774418">
    <w:abstractNumId w:val="9"/>
  </w:num>
  <w:num w:numId="13" w16cid:durableId="309864069">
    <w:abstractNumId w:val="7"/>
  </w:num>
  <w:num w:numId="14" w16cid:durableId="1430080624">
    <w:abstractNumId w:val="22"/>
  </w:num>
  <w:num w:numId="15" w16cid:durableId="276105100">
    <w:abstractNumId w:val="17"/>
  </w:num>
  <w:num w:numId="16" w16cid:durableId="176624754">
    <w:abstractNumId w:val="8"/>
  </w:num>
  <w:num w:numId="17" w16cid:durableId="1874611183">
    <w:abstractNumId w:val="10"/>
  </w:num>
  <w:num w:numId="18" w16cid:durableId="538863906">
    <w:abstractNumId w:val="15"/>
  </w:num>
  <w:num w:numId="19" w16cid:durableId="362437046">
    <w:abstractNumId w:val="4"/>
  </w:num>
  <w:num w:numId="20" w16cid:durableId="1036926519">
    <w:abstractNumId w:val="0"/>
  </w:num>
  <w:num w:numId="21" w16cid:durableId="63072524">
    <w:abstractNumId w:val="1"/>
  </w:num>
  <w:num w:numId="22" w16cid:durableId="505677960">
    <w:abstractNumId w:val="5"/>
  </w:num>
  <w:num w:numId="23" w16cid:durableId="146211240">
    <w:abstractNumId w:val="2"/>
  </w:num>
  <w:num w:numId="24" w16cid:durableId="897088247">
    <w:abstractNumId w:val="23"/>
  </w:num>
  <w:num w:numId="25" w16cid:durableId="1125004805">
    <w:abstractNumId w:val="18"/>
  </w:num>
  <w:num w:numId="26" w16cid:durableId="1405564896">
    <w:abstractNumId w:val="14"/>
  </w:num>
  <w:num w:numId="27" w16cid:durableId="1448431574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232E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4BE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2401"/>
    <w:rsid w:val="0010404D"/>
    <w:rsid w:val="00104B2C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2E3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97CF2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323A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343"/>
    <w:rsid w:val="0027155B"/>
    <w:rsid w:val="002718D9"/>
    <w:rsid w:val="00273F4D"/>
    <w:rsid w:val="00274806"/>
    <w:rsid w:val="00275845"/>
    <w:rsid w:val="00276A58"/>
    <w:rsid w:val="002772E1"/>
    <w:rsid w:val="00281DB9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186E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0BE0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444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6ED3"/>
    <w:rsid w:val="00457E07"/>
    <w:rsid w:val="0046099A"/>
    <w:rsid w:val="00463066"/>
    <w:rsid w:val="00464441"/>
    <w:rsid w:val="00466149"/>
    <w:rsid w:val="004661FE"/>
    <w:rsid w:val="004669B9"/>
    <w:rsid w:val="00470BB5"/>
    <w:rsid w:val="00471358"/>
    <w:rsid w:val="004728DE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6B19"/>
    <w:rsid w:val="00491E8D"/>
    <w:rsid w:val="0049620C"/>
    <w:rsid w:val="00496347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A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4AA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46694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2426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1EE7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3351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4A4B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43E2"/>
    <w:rsid w:val="0073587A"/>
    <w:rsid w:val="007413BD"/>
    <w:rsid w:val="00745815"/>
    <w:rsid w:val="00746871"/>
    <w:rsid w:val="00746B76"/>
    <w:rsid w:val="0074707F"/>
    <w:rsid w:val="00747F86"/>
    <w:rsid w:val="00750F9C"/>
    <w:rsid w:val="0075175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20C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4AB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7E2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377C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A49"/>
    <w:rsid w:val="00986D05"/>
    <w:rsid w:val="0098711E"/>
    <w:rsid w:val="0099130C"/>
    <w:rsid w:val="00995960"/>
    <w:rsid w:val="0099737C"/>
    <w:rsid w:val="009A04AB"/>
    <w:rsid w:val="009A1DE1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178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75D31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2FAC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E1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6F47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1392"/>
    <w:rsid w:val="00B172D7"/>
    <w:rsid w:val="00B22F6A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708A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87C3F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19EA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38E"/>
    <w:rsid w:val="00BD5E48"/>
    <w:rsid w:val="00BD6F99"/>
    <w:rsid w:val="00BD752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484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7F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EA3"/>
    <w:rsid w:val="00DA1F30"/>
    <w:rsid w:val="00DA2BEF"/>
    <w:rsid w:val="00DA3E8D"/>
    <w:rsid w:val="00DA5683"/>
    <w:rsid w:val="00DA7AD5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820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24F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4D49"/>
    <w:rsid w:val="00E86100"/>
    <w:rsid w:val="00E86D12"/>
    <w:rsid w:val="00E91742"/>
    <w:rsid w:val="00E92C77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5DEB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D7F92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5D0"/>
    <w:rsid w:val="00FA1BA3"/>
    <w:rsid w:val="00FA1E29"/>
    <w:rsid w:val="00FA583F"/>
    <w:rsid w:val="00FA5B09"/>
    <w:rsid w:val="00FA7AC5"/>
    <w:rsid w:val="00FA7E8E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2DC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7D891-361F-420C-978A-B0792617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1749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68</cp:revision>
  <cp:lastPrinted>2024-07-02T12:13:00Z</cp:lastPrinted>
  <dcterms:created xsi:type="dcterms:W3CDTF">2023-03-10T12:55:00Z</dcterms:created>
  <dcterms:modified xsi:type="dcterms:W3CDTF">2024-07-02T12:13:00Z</dcterms:modified>
</cp:coreProperties>
</file>